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3210"/>
        </w:tabs>
        <w:jc w:val="both"/>
        <w:rPr>
          <w:rFonts w:ascii="Tahoma" w:hAnsi="Tahoma" w:cs="Tahoma"/>
          <w:sz w:val="20"/>
          <w:szCs w:val="20"/>
        </w:rPr>
      </w:pPr>
      <w:r>
        <w:rPr>
          <w:rFonts w:ascii="Tahoma" w:hAnsi="Tahoma" w:cs="Tahoma"/>
          <w:sz w:val="20"/>
          <w:szCs w:val="20"/>
        </w:rPr>
        <w:t>Dear Parent/Carer</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15</w:t>
      </w:r>
      <w:r>
        <w:rPr>
          <w:rFonts w:ascii="Tahoma" w:hAnsi="Tahoma" w:cs="Tahoma"/>
          <w:sz w:val="20"/>
          <w:szCs w:val="20"/>
          <w:vertAlign w:val="superscript"/>
        </w:rPr>
        <w:t>th</w:t>
      </w:r>
      <w:r>
        <w:rPr>
          <w:rFonts w:ascii="Tahoma" w:hAnsi="Tahoma" w:cs="Tahoma"/>
          <w:sz w:val="20"/>
          <w:szCs w:val="20"/>
        </w:rPr>
        <w:t xml:space="preserve"> December 2014</w:t>
      </w:r>
    </w:p>
    <w:p>
      <w:pPr>
        <w:tabs>
          <w:tab w:val="left" w:pos="3210"/>
        </w:tabs>
        <w:jc w:val="both"/>
        <w:rPr>
          <w:rFonts w:ascii="Tahoma" w:hAnsi="Tahoma" w:cs="Tahoma"/>
          <w:b/>
          <w:sz w:val="20"/>
          <w:szCs w:val="20"/>
          <w:u w:val="single"/>
        </w:rPr>
      </w:pPr>
      <w:r>
        <w:rPr>
          <w:rFonts w:ascii="Tahoma" w:hAnsi="Tahoma" w:cs="Tahoma"/>
          <w:b/>
          <w:sz w:val="20"/>
          <w:szCs w:val="20"/>
          <w:u w:val="single"/>
        </w:rPr>
        <w:t>Year 8 target setting, assessment and setting</w:t>
      </w:r>
    </w:p>
    <w:p>
      <w:pPr>
        <w:tabs>
          <w:tab w:val="left" w:pos="3210"/>
        </w:tabs>
        <w:jc w:val="both"/>
        <w:rPr>
          <w:rFonts w:ascii="Tahoma" w:hAnsi="Tahoma" w:cs="Tahoma"/>
          <w:sz w:val="20"/>
          <w:szCs w:val="20"/>
        </w:rPr>
      </w:pPr>
      <w:r>
        <w:rPr>
          <w:rFonts w:ascii="Tahoma" w:hAnsi="Tahoma" w:cs="Tahoma"/>
          <w:sz w:val="20"/>
          <w:szCs w:val="20"/>
        </w:rPr>
        <w:t xml:space="preserve">In direct response to the Ofsted feedback we have been working hard to ensure that there is a clear spotlight on student attainment and progress.  This has meant that some of our systems  have had to change to support all our students in achieving their potential and making good progress.  </w:t>
      </w:r>
    </w:p>
    <w:p>
      <w:pPr>
        <w:pStyle w:val="ListParagraph"/>
        <w:numPr>
          <w:ilvl w:val="0"/>
          <w:numId w:val="1"/>
        </w:numPr>
        <w:tabs>
          <w:tab w:val="left" w:pos="3210"/>
        </w:tabs>
        <w:jc w:val="both"/>
        <w:rPr>
          <w:rFonts w:ascii="Tahoma" w:hAnsi="Tahoma" w:cs="Tahoma"/>
          <w:b/>
          <w:sz w:val="20"/>
          <w:szCs w:val="20"/>
        </w:rPr>
      </w:pPr>
      <w:r>
        <w:rPr>
          <w:rFonts w:ascii="Tahoma" w:hAnsi="Tahoma" w:cs="Tahoma"/>
          <w:b/>
          <w:sz w:val="20"/>
          <w:szCs w:val="20"/>
        </w:rPr>
        <w:t>Target setting</w:t>
      </w:r>
    </w:p>
    <w:p>
      <w:pPr>
        <w:tabs>
          <w:tab w:val="left" w:pos="3210"/>
        </w:tabs>
        <w:jc w:val="both"/>
        <w:rPr>
          <w:rFonts w:ascii="Tahoma" w:hAnsi="Tahoma" w:cs="Tahoma"/>
          <w:sz w:val="20"/>
          <w:szCs w:val="20"/>
        </w:rPr>
      </w:pPr>
      <w:r>
        <w:rPr>
          <w:rFonts w:ascii="Tahoma" w:hAnsi="Tahoma" w:cs="Tahoma"/>
          <w:sz w:val="20"/>
          <w:szCs w:val="20"/>
        </w:rPr>
        <w:t>Your child now has aspirational targets based on the trajectory they should achieve from KS2 to KS4 to make good progress.  Their targets should be on their individual subject books and in their planners.</w:t>
      </w:r>
    </w:p>
    <w:p>
      <w:pPr>
        <w:pStyle w:val="ListParagraph"/>
        <w:numPr>
          <w:ilvl w:val="0"/>
          <w:numId w:val="1"/>
        </w:numPr>
        <w:tabs>
          <w:tab w:val="left" w:pos="3210"/>
        </w:tabs>
        <w:jc w:val="both"/>
        <w:rPr>
          <w:rFonts w:ascii="Tahoma" w:hAnsi="Tahoma" w:cs="Tahoma"/>
          <w:b/>
          <w:sz w:val="20"/>
          <w:szCs w:val="20"/>
        </w:rPr>
      </w:pPr>
      <w:r>
        <w:rPr>
          <w:rFonts w:ascii="Tahoma" w:hAnsi="Tahoma" w:cs="Tahoma"/>
          <w:b/>
          <w:sz w:val="20"/>
          <w:szCs w:val="20"/>
        </w:rPr>
        <w:t>Regular assessment</w:t>
      </w:r>
    </w:p>
    <w:p>
      <w:pPr>
        <w:pStyle w:val="NormalWeb"/>
        <w:jc w:val="both"/>
        <w:rPr>
          <w:rFonts w:ascii="Tahoma" w:hAnsi="Tahoma" w:cs="Tahoma"/>
          <w:sz w:val="20"/>
          <w:szCs w:val="20"/>
        </w:rPr>
      </w:pPr>
      <w:r>
        <w:rPr>
          <w:rFonts w:ascii="Tahoma" w:hAnsi="Tahoma" w:cs="Tahoma"/>
          <w:sz w:val="20"/>
          <w:szCs w:val="20"/>
        </w:rPr>
        <w:t xml:space="preserve">There are now 4 formal assessment points throughout the year so that we can track progress effectively and intervene where necessary to ensure students are on track to achieve.  These will be followed by reports to parents so that you can see the progress your child is making.  In addition, departments will be conducting more regular informal assessments which will enable them to plan more effectively for progress.  The formal assessment dates are in your School Handbook.  If you are new to the school and do not have one please let us know. It is also on the website.  </w:t>
      </w:r>
    </w:p>
    <w:p>
      <w:pPr>
        <w:pStyle w:val="ListParagraph"/>
        <w:numPr>
          <w:ilvl w:val="0"/>
          <w:numId w:val="1"/>
        </w:numPr>
        <w:tabs>
          <w:tab w:val="left" w:pos="3210"/>
        </w:tabs>
        <w:jc w:val="both"/>
        <w:rPr>
          <w:rFonts w:ascii="Tahoma" w:hAnsi="Tahoma" w:cs="Tahoma"/>
          <w:b/>
          <w:sz w:val="20"/>
          <w:szCs w:val="20"/>
        </w:rPr>
      </w:pPr>
      <w:r>
        <w:rPr>
          <w:rFonts w:ascii="Tahoma" w:hAnsi="Tahoma" w:cs="Tahoma"/>
          <w:b/>
          <w:sz w:val="20"/>
          <w:szCs w:val="20"/>
        </w:rPr>
        <w:t>Academic setting</w:t>
      </w:r>
    </w:p>
    <w:p>
      <w:pPr>
        <w:pStyle w:val="NoSpacing"/>
        <w:jc w:val="both"/>
        <w:rPr>
          <w:rFonts w:ascii="Tahoma" w:hAnsi="Tahoma" w:cs="Tahoma"/>
          <w:sz w:val="20"/>
          <w:szCs w:val="20"/>
        </w:rPr>
      </w:pPr>
      <w:r>
        <w:rPr>
          <w:rFonts w:ascii="Tahoma" w:hAnsi="Tahoma" w:cs="Tahoma"/>
          <w:sz w:val="20"/>
          <w:szCs w:val="20"/>
        </w:rPr>
        <w:t xml:space="preserve">We have already changed student grouping in Years 9 and 10 to ensure that students are in the right set to make good progress.  </w:t>
      </w:r>
      <w:r>
        <w:rPr>
          <w:rFonts w:ascii="Tahoma" w:hAnsi="Tahoma" w:cs="Tahoma"/>
          <w:b/>
          <w:sz w:val="20"/>
          <w:szCs w:val="20"/>
        </w:rPr>
        <w:t>We are now undertaking a set review in Year 8 which will be effective from Monday 5</w:t>
      </w:r>
      <w:r>
        <w:rPr>
          <w:rFonts w:ascii="Tahoma" w:hAnsi="Tahoma" w:cs="Tahoma"/>
          <w:b/>
          <w:sz w:val="20"/>
          <w:szCs w:val="20"/>
          <w:vertAlign w:val="superscript"/>
        </w:rPr>
        <w:t>th</w:t>
      </w:r>
      <w:r>
        <w:rPr>
          <w:rFonts w:ascii="Tahoma" w:hAnsi="Tahoma" w:cs="Tahoma"/>
          <w:b/>
          <w:sz w:val="20"/>
          <w:szCs w:val="20"/>
        </w:rPr>
        <w:t xml:space="preserve"> January 2015.</w:t>
      </w:r>
      <w:r>
        <w:rPr>
          <w:rFonts w:ascii="Tahoma" w:hAnsi="Tahoma" w:cs="Tahoma"/>
          <w:sz w:val="20"/>
          <w:szCs w:val="20"/>
        </w:rPr>
        <w:t xml:space="preserve">  Sets in Y8 were mixed to some extent but will now be strictly ordered academic sets. From January students will be grouped according to KS2 scores in Maths and English, taking into account progress made in Years 7 &amp; 8 to ensure that we are able to focus more closely on progress and attainment.  New set structures are as follows:</w:t>
      </w:r>
    </w:p>
    <w:p>
      <w:pPr>
        <w:pStyle w:val="NoSpacing"/>
        <w:jc w:val="both"/>
        <w:rPr>
          <w:rFonts w:ascii="Tahoma" w:hAnsi="Tahoma" w:cs="Tahoma"/>
          <w:sz w:val="20"/>
          <w:szCs w:val="20"/>
        </w:rPr>
      </w:pPr>
    </w:p>
    <w:tbl>
      <w:tblPr>
        <w:tblStyle w:val="TableGrid"/>
        <w:tblW w:w="0" w:type="auto"/>
        <w:tblLayout w:type="fixed"/>
        <w:tblLook w:val="04A0" w:firstRow="1" w:lastRow="0" w:firstColumn="1" w:lastColumn="0" w:noHBand="0" w:noVBand="1"/>
      </w:tblPr>
      <w:tblGrid>
        <w:gridCol w:w="894"/>
        <w:gridCol w:w="915"/>
        <w:gridCol w:w="2694"/>
        <w:gridCol w:w="992"/>
        <w:gridCol w:w="992"/>
        <w:gridCol w:w="2552"/>
      </w:tblGrid>
      <w:tr>
        <w:tc>
          <w:tcPr>
            <w:tcW w:w="1809" w:type="dxa"/>
            <w:gridSpan w:val="2"/>
          </w:tcPr>
          <w:p>
            <w:pPr>
              <w:tabs>
                <w:tab w:val="left" w:pos="3210"/>
              </w:tabs>
              <w:jc w:val="both"/>
              <w:rPr>
                <w:rFonts w:ascii="Tahoma" w:hAnsi="Tahoma" w:cs="Tahoma"/>
                <w:b/>
                <w:sz w:val="20"/>
                <w:szCs w:val="20"/>
              </w:rPr>
            </w:pPr>
            <w:r>
              <w:rPr>
                <w:rFonts w:ascii="Tahoma" w:hAnsi="Tahoma" w:cs="Tahoma"/>
                <w:b/>
                <w:sz w:val="20"/>
                <w:szCs w:val="20"/>
              </w:rPr>
              <w:t>Previous Model</w:t>
            </w:r>
          </w:p>
        </w:tc>
        <w:tc>
          <w:tcPr>
            <w:tcW w:w="2694" w:type="dxa"/>
            <w:vMerge w:val="restart"/>
          </w:tcPr>
          <w:p>
            <w:pPr>
              <w:tabs>
                <w:tab w:val="left" w:pos="3210"/>
              </w:tabs>
              <w:jc w:val="both"/>
              <w:rPr>
                <w:rFonts w:ascii="Tahoma" w:hAnsi="Tahoma" w:cs="Tahoma"/>
                <w:sz w:val="20"/>
                <w:szCs w:val="20"/>
              </w:rPr>
            </w:pPr>
            <w:r>
              <w:rPr>
                <w:rFonts w:ascii="Tahoma" w:hAnsi="Tahoma" w:cs="Tahoma"/>
                <w:sz w:val="20"/>
                <w:szCs w:val="20"/>
              </w:rPr>
              <w:t xml:space="preserve">        </w:t>
            </w:r>
          </w:p>
          <w:p>
            <w:pPr>
              <w:tabs>
                <w:tab w:val="left" w:pos="3210"/>
              </w:tabs>
              <w:jc w:val="both"/>
              <w:rPr>
                <w:rFonts w:ascii="Tahoma" w:hAnsi="Tahoma" w:cs="Tahoma"/>
                <w:sz w:val="20"/>
                <w:szCs w:val="20"/>
              </w:rPr>
            </w:pPr>
            <w:r>
              <w:rPr>
                <w:rFonts w:ascii="Tahoma" w:hAnsi="Tahoma" w:cs="Tahoma"/>
                <w:sz w:val="20"/>
                <w:szCs w:val="20"/>
              </w:rPr>
              <w:t>Academic sets except</w:t>
            </w:r>
          </w:p>
          <w:p>
            <w:pPr>
              <w:tabs>
                <w:tab w:val="left" w:pos="3210"/>
              </w:tabs>
              <w:jc w:val="both"/>
              <w:rPr>
                <w:rFonts w:ascii="Tahoma" w:hAnsi="Tahoma" w:cs="Tahoma"/>
                <w:b/>
                <w:sz w:val="20"/>
                <w:szCs w:val="20"/>
              </w:rPr>
            </w:pPr>
            <w:r>
              <w:rPr>
                <w:rFonts w:ascii="Tahoma" w:hAnsi="Tahoma" w:cs="Tahoma"/>
                <w:sz w:val="20"/>
                <w:szCs w:val="20"/>
              </w:rPr>
              <w:t xml:space="preserve">         </w:t>
            </w:r>
            <w:r>
              <w:rPr>
                <w:rFonts w:ascii="Tahoma" w:hAnsi="Tahoma" w:cs="Tahoma"/>
                <w:b/>
                <w:sz w:val="20"/>
                <w:szCs w:val="20"/>
              </w:rPr>
              <w:t>Parallel sets</w:t>
            </w:r>
          </w:p>
        </w:tc>
        <w:tc>
          <w:tcPr>
            <w:tcW w:w="1984" w:type="dxa"/>
            <w:gridSpan w:val="2"/>
          </w:tcPr>
          <w:p>
            <w:pPr>
              <w:tabs>
                <w:tab w:val="left" w:pos="3210"/>
              </w:tabs>
              <w:jc w:val="both"/>
              <w:rPr>
                <w:rFonts w:ascii="Tahoma" w:hAnsi="Tahoma" w:cs="Tahoma"/>
                <w:b/>
                <w:sz w:val="20"/>
                <w:szCs w:val="20"/>
              </w:rPr>
            </w:pPr>
            <w:r>
              <w:rPr>
                <w:rFonts w:ascii="Tahoma" w:hAnsi="Tahoma" w:cs="Tahoma"/>
                <w:b/>
                <w:sz w:val="20"/>
                <w:szCs w:val="20"/>
              </w:rPr>
              <w:t>New Model</w:t>
            </w:r>
          </w:p>
        </w:tc>
        <w:tc>
          <w:tcPr>
            <w:tcW w:w="2552" w:type="dxa"/>
            <w:vMerge w:val="restart"/>
          </w:tcPr>
          <w:p>
            <w:pPr>
              <w:tabs>
                <w:tab w:val="left" w:pos="3210"/>
              </w:tabs>
              <w:jc w:val="both"/>
              <w:rPr>
                <w:rFonts w:ascii="Tahoma" w:hAnsi="Tahoma" w:cs="Tahoma"/>
                <w:b/>
                <w:sz w:val="20"/>
                <w:szCs w:val="20"/>
              </w:rPr>
            </w:pPr>
          </w:p>
          <w:p>
            <w:pPr>
              <w:tabs>
                <w:tab w:val="left" w:pos="3210"/>
              </w:tabs>
              <w:jc w:val="both"/>
              <w:rPr>
                <w:rFonts w:ascii="Tahoma" w:hAnsi="Tahoma" w:cs="Tahoma"/>
                <w:sz w:val="20"/>
                <w:szCs w:val="20"/>
              </w:rPr>
            </w:pPr>
            <w:r>
              <w:rPr>
                <w:rFonts w:ascii="Tahoma" w:hAnsi="Tahoma" w:cs="Tahoma"/>
                <w:sz w:val="20"/>
                <w:szCs w:val="20"/>
              </w:rPr>
              <w:t>Academic sets in 2 bands</w:t>
            </w:r>
          </w:p>
          <w:p>
            <w:pPr>
              <w:tabs>
                <w:tab w:val="left" w:pos="3210"/>
              </w:tabs>
              <w:jc w:val="both"/>
              <w:rPr>
                <w:rFonts w:ascii="Tahoma" w:hAnsi="Tahoma" w:cs="Tahoma"/>
                <w:sz w:val="20"/>
                <w:szCs w:val="20"/>
              </w:rPr>
            </w:pPr>
            <w:r>
              <w:rPr>
                <w:rFonts w:ascii="Tahoma" w:hAnsi="Tahoma" w:cs="Tahoma"/>
                <w:sz w:val="20"/>
                <w:szCs w:val="20"/>
              </w:rPr>
              <w:t>B (upper) &amp; T (lower)</w:t>
            </w:r>
          </w:p>
        </w:tc>
      </w:tr>
      <w:tr>
        <w:tc>
          <w:tcPr>
            <w:tcW w:w="894" w:type="dxa"/>
          </w:tcPr>
          <w:p>
            <w:pPr>
              <w:tabs>
                <w:tab w:val="left" w:pos="3210"/>
              </w:tabs>
              <w:jc w:val="both"/>
              <w:rPr>
                <w:rFonts w:ascii="Tahoma" w:hAnsi="Tahoma" w:cs="Tahoma"/>
                <w:sz w:val="20"/>
                <w:szCs w:val="20"/>
              </w:rPr>
            </w:pPr>
            <w:r>
              <w:rPr>
                <w:rFonts w:ascii="Tahoma" w:hAnsi="Tahoma" w:cs="Tahoma"/>
                <w:sz w:val="20"/>
                <w:szCs w:val="20"/>
              </w:rPr>
              <w:t>B1</w:t>
            </w:r>
          </w:p>
        </w:tc>
        <w:tc>
          <w:tcPr>
            <w:tcW w:w="915" w:type="dxa"/>
          </w:tcPr>
          <w:p>
            <w:pPr>
              <w:tabs>
                <w:tab w:val="left" w:pos="3210"/>
              </w:tabs>
              <w:jc w:val="both"/>
              <w:rPr>
                <w:rFonts w:ascii="Tahoma" w:hAnsi="Tahoma" w:cs="Tahoma"/>
                <w:b/>
                <w:sz w:val="20"/>
                <w:szCs w:val="20"/>
              </w:rPr>
            </w:pPr>
          </w:p>
        </w:tc>
        <w:tc>
          <w:tcPr>
            <w:tcW w:w="2694" w:type="dxa"/>
            <w:vMerge/>
          </w:tcPr>
          <w:p>
            <w:pPr>
              <w:tabs>
                <w:tab w:val="left" w:pos="3210"/>
              </w:tabs>
              <w:jc w:val="both"/>
              <w:rPr>
                <w:rFonts w:ascii="Tahoma" w:hAnsi="Tahoma" w:cs="Tahoma"/>
                <w:sz w:val="20"/>
                <w:szCs w:val="20"/>
              </w:rPr>
            </w:pPr>
          </w:p>
        </w:tc>
        <w:tc>
          <w:tcPr>
            <w:tcW w:w="992" w:type="dxa"/>
          </w:tcPr>
          <w:p>
            <w:pPr>
              <w:tabs>
                <w:tab w:val="left" w:pos="3210"/>
              </w:tabs>
              <w:jc w:val="both"/>
              <w:rPr>
                <w:rFonts w:ascii="Tahoma" w:hAnsi="Tahoma" w:cs="Tahoma"/>
                <w:sz w:val="20"/>
                <w:szCs w:val="20"/>
              </w:rPr>
            </w:pPr>
            <w:r>
              <w:rPr>
                <w:rFonts w:ascii="Tahoma" w:hAnsi="Tahoma" w:cs="Tahoma"/>
                <w:sz w:val="20"/>
                <w:szCs w:val="20"/>
              </w:rPr>
              <w:t>B1</w:t>
            </w:r>
          </w:p>
        </w:tc>
        <w:tc>
          <w:tcPr>
            <w:tcW w:w="992" w:type="dxa"/>
          </w:tcPr>
          <w:p>
            <w:pPr>
              <w:tabs>
                <w:tab w:val="left" w:pos="3210"/>
              </w:tabs>
              <w:jc w:val="both"/>
              <w:rPr>
                <w:rFonts w:ascii="Tahoma" w:hAnsi="Tahoma" w:cs="Tahoma"/>
                <w:sz w:val="20"/>
                <w:szCs w:val="20"/>
              </w:rPr>
            </w:pPr>
          </w:p>
        </w:tc>
        <w:tc>
          <w:tcPr>
            <w:tcW w:w="2552" w:type="dxa"/>
            <w:vMerge/>
          </w:tcPr>
          <w:p>
            <w:pPr>
              <w:tabs>
                <w:tab w:val="left" w:pos="3210"/>
              </w:tabs>
              <w:jc w:val="both"/>
              <w:rPr>
                <w:rFonts w:ascii="Tahoma" w:hAnsi="Tahoma" w:cs="Tahoma"/>
                <w:sz w:val="20"/>
                <w:szCs w:val="20"/>
              </w:rPr>
            </w:pPr>
          </w:p>
        </w:tc>
      </w:tr>
      <w:tr>
        <w:tc>
          <w:tcPr>
            <w:tcW w:w="894" w:type="dxa"/>
          </w:tcPr>
          <w:p>
            <w:pPr>
              <w:tabs>
                <w:tab w:val="left" w:pos="3210"/>
              </w:tabs>
              <w:jc w:val="both"/>
              <w:rPr>
                <w:rFonts w:ascii="Tahoma" w:hAnsi="Tahoma" w:cs="Tahoma"/>
                <w:b/>
                <w:sz w:val="20"/>
                <w:szCs w:val="20"/>
              </w:rPr>
            </w:pPr>
            <w:r>
              <w:rPr>
                <w:rFonts w:ascii="Tahoma" w:hAnsi="Tahoma" w:cs="Tahoma"/>
                <w:b/>
                <w:sz w:val="20"/>
                <w:szCs w:val="20"/>
              </w:rPr>
              <w:t>B2</w:t>
            </w:r>
          </w:p>
        </w:tc>
        <w:tc>
          <w:tcPr>
            <w:tcW w:w="915" w:type="dxa"/>
          </w:tcPr>
          <w:p>
            <w:pPr>
              <w:tabs>
                <w:tab w:val="left" w:pos="3210"/>
              </w:tabs>
              <w:jc w:val="both"/>
              <w:rPr>
                <w:rFonts w:ascii="Tahoma" w:hAnsi="Tahoma" w:cs="Tahoma"/>
                <w:b/>
                <w:sz w:val="20"/>
                <w:szCs w:val="20"/>
              </w:rPr>
            </w:pPr>
            <w:r>
              <w:rPr>
                <w:rFonts w:ascii="Tahoma" w:hAnsi="Tahoma" w:cs="Tahoma"/>
                <w:b/>
                <w:noProof/>
                <w:sz w:val="20"/>
                <w:szCs w:val="20"/>
                <w:lang w:eastAsia="en-GB"/>
              </w:rPr>
              <mc:AlternateContent>
                <mc:Choice Requires="wps">
                  <w:drawing>
                    <wp:anchor distT="0" distB="0" distL="114300" distR="114300" simplePos="0" relativeHeight="251665408" behindDoc="0" locked="0" layoutInCell="1" allowOverlap="1">
                      <wp:simplePos x="0" y="0"/>
                      <wp:positionH relativeFrom="column">
                        <wp:posOffset>499110</wp:posOffset>
                      </wp:positionH>
                      <wp:positionV relativeFrom="paragraph">
                        <wp:posOffset>99060</wp:posOffset>
                      </wp:positionV>
                      <wp:extent cx="295275" cy="0"/>
                      <wp:effectExtent l="38100" t="76200" r="0" b="114300"/>
                      <wp:wrapNone/>
                      <wp:docPr id="7" name="Straight Arrow Connector 7"/>
                      <wp:cNvGraphicFramePr/>
                      <a:graphic xmlns:a="http://schemas.openxmlformats.org/drawingml/2006/main">
                        <a:graphicData uri="http://schemas.microsoft.com/office/word/2010/wordprocessingShape">
                          <wps:wsp>
                            <wps:cNvCnPr/>
                            <wps:spPr>
                              <a:xfrm flipH="1">
                                <a:off x="0" y="0"/>
                                <a:ext cx="2952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39.3pt;margin-top:7.8pt;width:23.2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" strokecolor="#5b9bd5 [3204]" strokeweight=".5pt">
                      <v:stroke endarrow="open" joinstyle="miter"/>
                    </v:shape>
                  </w:pict>
                </mc:Fallback>
              </mc:AlternateContent>
            </w:r>
            <w:r>
              <w:rPr>
                <w:rFonts w:ascii="Tahoma" w:hAnsi="Tahoma" w:cs="Tahoma"/>
                <w:b/>
                <w:sz w:val="20"/>
                <w:szCs w:val="20"/>
              </w:rPr>
              <w:t>T1</w:t>
            </w:r>
          </w:p>
        </w:tc>
        <w:tc>
          <w:tcPr>
            <w:tcW w:w="2694" w:type="dxa"/>
            <w:vMerge/>
          </w:tcPr>
          <w:p>
            <w:pPr>
              <w:tabs>
                <w:tab w:val="left" w:pos="3210"/>
              </w:tabs>
              <w:jc w:val="both"/>
              <w:rPr>
                <w:rFonts w:ascii="Tahoma" w:hAnsi="Tahoma" w:cs="Tahoma"/>
                <w:sz w:val="20"/>
                <w:szCs w:val="20"/>
              </w:rPr>
            </w:pPr>
          </w:p>
        </w:tc>
        <w:tc>
          <w:tcPr>
            <w:tcW w:w="992" w:type="dxa"/>
          </w:tcPr>
          <w:p>
            <w:pPr>
              <w:tabs>
                <w:tab w:val="left" w:pos="3210"/>
              </w:tabs>
              <w:jc w:val="both"/>
              <w:rPr>
                <w:rFonts w:ascii="Tahoma" w:hAnsi="Tahoma" w:cs="Tahoma"/>
                <w:sz w:val="20"/>
                <w:szCs w:val="20"/>
              </w:rPr>
            </w:pPr>
            <w:r>
              <w:rPr>
                <w:rFonts w:ascii="Tahoma" w:hAnsi="Tahoma" w:cs="Tahoma"/>
                <w:sz w:val="20"/>
                <w:szCs w:val="20"/>
              </w:rPr>
              <w:t>B2</w:t>
            </w:r>
          </w:p>
        </w:tc>
        <w:tc>
          <w:tcPr>
            <w:tcW w:w="992" w:type="dxa"/>
          </w:tcPr>
          <w:p>
            <w:pPr>
              <w:tabs>
                <w:tab w:val="left" w:pos="3210"/>
              </w:tabs>
              <w:jc w:val="both"/>
              <w:rPr>
                <w:rFonts w:ascii="Tahoma" w:hAnsi="Tahoma" w:cs="Tahoma"/>
                <w:sz w:val="20"/>
                <w:szCs w:val="20"/>
              </w:rPr>
            </w:pPr>
          </w:p>
        </w:tc>
        <w:tc>
          <w:tcPr>
            <w:tcW w:w="2552" w:type="dxa"/>
            <w:vMerge/>
          </w:tcPr>
          <w:p>
            <w:pPr>
              <w:tabs>
                <w:tab w:val="left" w:pos="3210"/>
              </w:tabs>
              <w:jc w:val="both"/>
              <w:rPr>
                <w:rFonts w:ascii="Tahoma" w:hAnsi="Tahoma" w:cs="Tahoma"/>
                <w:sz w:val="20"/>
                <w:szCs w:val="20"/>
              </w:rPr>
            </w:pPr>
          </w:p>
        </w:tc>
      </w:tr>
      <w:tr>
        <w:tc>
          <w:tcPr>
            <w:tcW w:w="894" w:type="dxa"/>
          </w:tcPr>
          <w:p>
            <w:pPr>
              <w:tabs>
                <w:tab w:val="left" w:pos="3210"/>
              </w:tabs>
              <w:jc w:val="both"/>
              <w:rPr>
                <w:rFonts w:ascii="Tahoma" w:hAnsi="Tahoma" w:cs="Tahoma"/>
                <w:sz w:val="20"/>
                <w:szCs w:val="20"/>
              </w:rPr>
            </w:pPr>
            <w:r>
              <w:rPr>
                <w:rFonts w:ascii="Tahoma" w:hAnsi="Tahoma" w:cs="Tahoma"/>
                <w:sz w:val="20"/>
                <w:szCs w:val="20"/>
              </w:rPr>
              <w:t>B3</w:t>
            </w:r>
          </w:p>
        </w:tc>
        <w:tc>
          <w:tcPr>
            <w:tcW w:w="915" w:type="dxa"/>
          </w:tcPr>
          <w:p>
            <w:pPr>
              <w:tabs>
                <w:tab w:val="left" w:pos="3210"/>
              </w:tabs>
              <w:jc w:val="both"/>
              <w:rPr>
                <w:rFonts w:ascii="Tahoma" w:hAnsi="Tahoma" w:cs="Tahoma"/>
                <w:sz w:val="20"/>
                <w:szCs w:val="20"/>
              </w:rPr>
            </w:pPr>
          </w:p>
        </w:tc>
        <w:tc>
          <w:tcPr>
            <w:tcW w:w="2694" w:type="dxa"/>
            <w:vMerge/>
          </w:tcPr>
          <w:p>
            <w:pPr>
              <w:tabs>
                <w:tab w:val="left" w:pos="3210"/>
              </w:tabs>
              <w:jc w:val="both"/>
              <w:rPr>
                <w:rFonts w:ascii="Tahoma" w:hAnsi="Tahoma" w:cs="Tahoma"/>
                <w:sz w:val="20"/>
                <w:szCs w:val="20"/>
              </w:rPr>
            </w:pPr>
          </w:p>
        </w:tc>
        <w:tc>
          <w:tcPr>
            <w:tcW w:w="992" w:type="dxa"/>
          </w:tcPr>
          <w:p>
            <w:pPr>
              <w:tabs>
                <w:tab w:val="left" w:pos="3210"/>
              </w:tabs>
              <w:jc w:val="both"/>
              <w:rPr>
                <w:rFonts w:ascii="Tahoma" w:hAnsi="Tahoma" w:cs="Tahoma"/>
                <w:sz w:val="20"/>
                <w:szCs w:val="20"/>
              </w:rPr>
            </w:pPr>
            <w:r>
              <w:rPr>
                <w:rFonts w:ascii="Tahoma" w:hAnsi="Tahoma" w:cs="Tahoma"/>
                <w:sz w:val="20"/>
                <w:szCs w:val="20"/>
              </w:rPr>
              <w:t>B3</w:t>
            </w:r>
          </w:p>
        </w:tc>
        <w:tc>
          <w:tcPr>
            <w:tcW w:w="992" w:type="dxa"/>
          </w:tcPr>
          <w:p>
            <w:pPr>
              <w:tabs>
                <w:tab w:val="left" w:pos="3210"/>
              </w:tabs>
              <w:jc w:val="both"/>
              <w:rPr>
                <w:rFonts w:ascii="Tahoma" w:hAnsi="Tahoma" w:cs="Tahoma"/>
                <w:sz w:val="20"/>
                <w:szCs w:val="20"/>
              </w:rPr>
            </w:pPr>
          </w:p>
        </w:tc>
        <w:tc>
          <w:tcPr>
            <w:tcW w:w="2552" w:type="dxa"/>
            <w:vMerge/>
          </w:tcPr>
          <w:p>
            <w:pPr>
              <w:tabs>
                <w:tab w:val="left" w:pos="3210"/>
              </w:tabs>
              <w:jc w:val="both"/>
              <w:rPr>
                <w:rFonts w:ascii="Tahoma" w:hAnsi="Tahoma" w:cs="Tahoma"/>
                <w:sz w:val="20"/>
                <w:szCs w:val="20"/>
              </w:rPr>
            </w:pPr>
          </w:p>
        </w:tc>
      </w:tr>
      <w:tr>
        <w:tc>
          <w:tcPr>
            <w:tcW w:w="894" w:type="dxa"/>
          </w:tcPr>
          <w:p>
            <w:pPr>
              <w:tabs>
                <w:tab w:val="left" w:pos="3210"/>
              </w:tabs>
              <w:jc w:val="both"/>
              <w:rPr>
                <w:rFonts w:ascii="Tahoma" w:hAnsi="Tahoma" w:cs="Tahoma"/>
                <w:sz w:val="20"/>
                <w:szCs w:val="20"/>
              </w:rPr>
            </w:pPr>
          </w:p>
        </w:tc>
        <w:tc>
          <w:tcPr>
            <w:tcW w:w="915" w:type="dxa"/>
          </w:tcPr>
          <w:p>
            <w:pPr>
              <w:tabs>
                <w:tab w:val="left" w:pos="3210"/>
              </w:tabs>
              <w:jc w:val="both"/>
              <w:rPr>
                <w:rFonts w:ascii="Tahoma" w:hAnsi="Tahoma" w:cs="Tahoma"/>
                <w:sz w:val="20"/>
                <w:szCs w:val="20"/>
              </w:rPr>
            </w:pPr>
            <w:r>
              <w:rPr>
                <w:rFonts w:ascii="Tahoma" w:hAnsi="Tahoma" w:cs="Tahoma"/>
                <w:sz w:val="20"/>
                <w:szCs w:val="20"/>
              </w:rPr>
              <w:t>T2</w:t>
            </w:r>
          </w:p>
        </w:tc>
        <w:tc>
          <w:tcPr>
            <w:tcW w:w="2694" w:type="dxa"/>
            <w:vMerge/>
          </w:tcPr>
          <w:p>
            <w:pPr>
              <w:tabs>
                <w:tab w:val="left" w:pos="3210"/>
              </w:tabs>
              <w:jc w:val="both"/>
              <w:rPr>
                <w:rFonts w:ascii="Tahoma" w:hAnsi="Tahoma" w:cs="Tahoma"/>
                <w:sz w:val="20"/>
                <w:szCs w:val="20"/>
              </w:rPr>
            </w:pPr>
          </w:p>
        </w:tc>
        <w:tc>
          <w:tcPr>
            <w:tcW w:w="992" w:type="dxa"/>
          </w:tcPr>
          <w:p>
            <w:pPr>
              <w:tabs>
                <w:tab w:val="left" w:pos="3210"/>
              </w:tabs>
              <w:jc w:val="both"/>
              <w:rPr>
                <w:rFonts w:ascii="Tahoma" w:hAnsi="Tahoma" w:cs="Tahoma"/>
                <w:sz w:val="20"/>
                <w:szCs w:val="20"/>
              </w:rPr>
            </w:pPr>
          </w:p>
        </w:tc>
        <w:tc>
          <w:tcPr>
            <w:tcW w:w="992" w:type="dxa"/>
          </w:tcPr>
          <w:p>
            <w:pPr>
              <w:tabs>
                <w:tab w:val="left" w:pos="3210"/>
              </w:tabs>
              <w:jc w:val="both"/>
              <w:rPr>
                <w:rFonts w:ascii="Tahoma" w:hAnsi="Tahoma" w:cs="Tahoma"/>
                <w:sz w:val="20"/>
                <w:szCs w:val="20"/>
              </w:rPr>
            </w:pPr>
            <w:r>
              <w:rPr>
                <w:rFonts w:ascii="Tahoma" w:hAnsi="Tahoma" w:cs="Tahoma"/>
                <w:sz w:val="20"/>
                <w:szCs w:val="20"/>
              </w:rPr>
              <w:t>T1</w:t>
            </w:r>
          </w:p>
        </w:tc>
        <w:tc>
          <w:tcPr>
            <w:tcW w:w="2552" w:type="dxa"/>
            <w:vMerge/>
          </w:tcPr>
          <w:p>
            <w:pPr>
              <w:tabs>
                <w:tab w:val="left" w:pos="3210"/>
              </w:tabs>
              <w:jc w:val="both"/>
              <w:rPr>
                <w:rFonts w:ascii="Tahoma" w:hAnsi="Tahoma" w:cs="Tahoma"/>
                <w:sz w:val="20"/>
                <w:szCs w:val="20"/>
              </w:rPr>
            </w:pPr>
          </w:p>
        </w:tc>
      </w:tr>
      <w:tr>
        <w:tc>
          <w:tcPr>
            <w:tcW w:w="894" w:type="dxa"/>
          </w:tcPr>
          <w:p>
            <w:pPr>
              <w:tabs>
                <w:tab w:val="left" w:pos="3210"/>
              </w:tabs>
              <w:jc w:val="both"/>
              <w:rPr>
                <w:rFonts w:ascii="Tahoma" w:hAnsi="Tahoma" w:cs="Tahoma"/>
                <w:b/>
                <w:sz w:val="20"/>
                <w:szCs w:val="20"/>
              </w:rPr>
            </w:pPr>
          </w:p>
        </w:tc>
        <w:tc>
          <w:tcPr>
            <w:tcW w:w="915" w:type="dxa"/>
          </w:tcPr>
          <w:p>
            <w:pPr>
              <w:tabs>
                <w:tab w:val="left" w:pos="3210"/>
              </w:tabs>
              <w:jc w:val="both"/>
              <w:rPr>
                <w:rFonts w:ascii="Tahoma" w:hAnsi="Tahoma" w:cs="Tahoma"/>
                <w:sz w:val="20"/>
                <w:szCs w:val="20"/>
              </w:rPr>
            </w:pPr>
            <w:r>
              <w:rPr>
                <w:rFonts w:ascii="Tahoma" w:hAnsi="Tahoma" w:cs="Tahoma"/>
                <w:sz w:val="20"/>
                <w:szCs w:val="20"/>
              </w:rPr>
              <w:t>T3</w:t>
            </w:r>
          </w:p>
        </w:tc>
        <w:tc>
          <w:tcPr>
            <w:tcW w:w="2694" w:type="dxa"/>
            <w:vMerge/>
          </w:tcPr>
          <w:p>
            <w:pPr>
              <w:tabs>
                <w:tab w:val="left" w:pos="3210"/>
              </w:tabs>
              <w:jc w:val="both"/>
              <w:rPr>
                <w:rFonts w:ascii="Tahoma" w:hAnsi="Tahoma" w:cs="Tahoma"/>
                <w:sz w:val="20"/>
                <w:szCs w:val="20"/>
              </w:rPr>
            </w:pPr>
          </w:p>
        </w:tc>
        <w:tc>
          <w:tcPr>
            <w:tcW w:w="992" w:type="dxa"/>
          </w:tcPr>
          <w:p>
            <w:pPr>
              <w:tabs>
                <w:tab w:val="left" w:pos="3210"/>
              </w:tabs>
              <w:jc w:val="both"/>
              <w:rPr>
                <w:rFonts w:ascii="Tahoma" w:hAnsi="Tahoma" w:cs="Tahoma"/>
                <w:sz w:val="20"/>
                <w:szCs w:val="20"/>
              </w:rPr>
            </w:pPr>
          </w:p>
        </w:tc>
        <w:tc>
          <w:tcPr>
            <w:tcW w:w="992" w:type="dxa"/>
          </w:tcPr>
          <w:p>
            <w:pPr>
              <w:tabs>
                <w:tab w:val="left" w:pos="3210"/>
              </w:tabs>
              <w:jc w:val="both"/>
              <w:rPr>
                <w:rFonts w:ascii="Tahoma" w:hAnsi="Tahoma" w:cs="Tahoma"/>
                <w:sz w:val="20"/>
                <w:szCs w:val="20"/>
              </w:rPr>
            </w:pPr>
            <w:r>
              <w:rPr>
                <w:rFonts w:ascii="Tahoma" w:hAnsi="Tahoma" w:cs="Tahoma"/>
                <w:sz w:val="20"/>
                <w:szCs w:val="20"/>
              </w:rPr>
              <w:t>T2</w:t>
            </w:r>
          </w:p>
        </w:tc>
        <w:tc>
          <w:tcPr>
            <w:tcW w:w="2552" w:type="dxa"/>
            <w:vMerge/>
          </w:tcPr>
          <w:p>
            <w:pPr>
              <w:tabs>
                <w:tab w:val="left" w:pos="3210"/>
              </w:tabs>
              <w:jc w:val="both"/>
              <w:rPr>
                <w:rFonts w:ascii="Tahoma" w:hAnsi="Tahoma" w:cs="Tahoma"/>
                <w:sz w:val="20"/>
                <w:szCs w:val="20"/>
              </w:rPr>
            </w:pPr>
          </w:p>
        </w:tc>
      </w:tr>
      <w:tr>
        <w:tc>
          <w:tcPr>
            <w:tcW w:w="894" w:type="dxa"/>
          </w:tcPr>
          <w:p>
            <w:pPr>
              <w:tabs>
                <w:tab w:val="left" w:pos="3210"/>
              </w:tabs>
              <w:jc w:val="both"/>
              <w:rPr>
                <w:rFonts w:ascii="Tahoma" w:hAnsi="Tahoma" w:cs="Tahoma"/>
                <w:b/>
                <w:sz w:val="20"/>
                <w:szCs w:val="20"/>
              </w:rPr>
            </w:pPr>
          </w:p>
        </w:tc>
        <w:tc>
          <w:tcPr>
            <w:tcW w:w="915" w:type="dxa"/>
          </w:tcPr>
          <w:p>
            <w:pPr>
              <w:tabs>
                <w:tab w:val="left" w:pos="3210"/>
              </w:tabs>
              <w:jc w:val="both"/>
              <w:rPr>
                <w:rFonts w:ascii="Tahoma" w:hAnsi="Tahoma" w:cs="Tahoma"/>
                <w:sz w:val="20"/>
                <w:szCs w:val="20"/>
              </w:rPr>
            </w:pPr>
          </w:p>
        </w:tc>
        <w:tc>
          <w:tcPr>
            <w:tcW w:w="2694" w:type="dxa"/>
            <w:vMerge/>
          </w:tcPr>
          <w:p>
            <w:pPr>
              <w:tabs>
                <w:tab w:val="left" w:pos="3210"/>
              </w:tabs>
              <w:jc w:val="both"/>
              <w:rPr>
                <w:rFonts w:ascii="Tahoma" w:hAnsi="Tahoma" w:cs="Tahoma"/>
                <w:sz w:val="20"/>
                <w:szCs w:val="20"/>
              </w:rPr>
            </w:pPr>
          </w:p>
        </w:tc>
        <w:tc>
          <w:tcPr>
            <w:tcW w:w="992" w:type="dxa"/>
          </w:tcPr>
          <w:p>
            <w:pPr>
              <w:tabs>
                <w:tab w:val="left" w:pos="3210"/>
              </w:tabs>
              <w:jc w:val="both"/>
              <w:rPr>
                <w:rFonts w:ascii="Tahoma" w:hAnsi="Tahoma" w:cs="Tahoma"/>
                <w:sz w:val="20"/>
                <w:szCs w:val="20"/>
              </w:rPr>
            </w:pPr>
          </w:p>
        </w:tc>
        <w:tc>
          <w:tcPr>
            <w:tcW w:w="992" w:type="dxa"/>
          </w:tcPr>
          <w:p>
            <w:pPr>
              <w:tabs>
                <w:tab w:val="left" w:pos="3210"/>
              </w:tabs>
              <w:jc w:val="both"/>
              <w:rPr>
                <w:rFonts w:ascii="Tahoma" w:hAnsi="Tahoma" w:cs="Tahoma"/>
                <w:sz w:val="20"/>
                <w:szCs w:val="20"/>
              </w:rPr>
            </w:pPr>
            <w:r>
              <w:rPr>
                <w:rFonts w:ascii="Tahoma" w:hAnsi="Tahoma" w:cs="Tahoma"/>
                <w:sz w:val="20"/>
                <w:szCs w:val="20"/>
              </w:rPr>
              <w:t>T3</w:t>
            </w:r>
          </w:p>
        </w:tc>
        <w:tc>
          <w:tcPr>
            <w:tcW w:w="2552" w:type="dxa"/>
            <w:vMerge/>
          </w:tcPr>
          <w:p>
            <w:pPr>
              <w:tabs>
                <w:tab w:val="left" w:pos="3210"/>
              </w:tabs>
              <w:jc w:val="both"/>
              <w:rPr>
                <w:rFonts w:ascii="Tahoma" w:hAnsi="Tahoma" w:cs="Tahoma"/>
                <w:sz w:val="20"/>
                <w:szCs w:val="20"/>
              </w:rPr>
            </w:pPr>
          </w:p>
        </w:tc>
      </w:tr>
    </w:tbl>
    <w:p>
      <w:pPr>
        <w:pStyle w:val="ListParagraph"/>
        <w:tabs>
          <w:tab w:val="left" w:pos="3210"/>
        </w:tabs>
        <w:ind w:left="0"/>
        <w:jc w:val="both"/>
        <w:rPr>
          <w:rFonts w:ascii="Tahoma" w:hAnsi="Tahoma" w:cs="Tahoma"/>
          <w:sz w:val="20"/>
          <w:szCs w:val="20"/>
        </w:rPr>
      </w:pPr>
      <w:r>
        <w:rPr>
          <w:rFonts w:ascii="Tahoma" w:hAnsi="Tahoma" w:cs="Tahoma"/>
          <w:sz w:val="20"/>
          <w:szCs w:val="20"/>
        </w:rPr>
        <w:t>As a result of the new groupings, your child may have changed their set or teacher.  In some cases it may seem that there has been a big change in set but in reality this will usually be because sets were previously mixed.  Please be reassured that any set change has been carefully thought out so that your child is now correctly placed with the right amount of support and challenge to meet their learning needs.</w:t>
      </w:r>
    </w:p>
    <w:p>
      <w:pPr>
        <w:pStyle w:val="ListParagraph"/>
        <w:tabs>
          <w:tab w:val="left" w:pos="3210"/>
        </w:tabs>
        <w:ind w:left="0"/>
        <w:jc w:val="both"/>
        <w:rPr>
          <w:rFonts w:ascii="Tahoma" w:hAnsi="Tahoma" w:cs="Tahoma"/>
          <w:sz w:val="20"/>
          <w:szCs w:val="20"/>
        </w:rPr>
      </w:pPr>
    </w:p>
    <w:p>
      <w:pPr>
        <w:pStyle w:val="ListParagraph"/>
        <w:numPr>
          <w:ilvl w:val="0"/>
          <w:numId w:val="1"/>
        </w:numPr>
        <w:tabs>
          <w:tab w:val="left" w:pos="3210"/>
        </w:tabs>
        <w:jc w:val="both"/>
        <w:rPr>
          <w:rFonts w:ascii="Tahoma" w:hAnsi="Tahoma" w:cs="Tahoma"/>
          <w:b/>
          <w:sz w:val="20"/>
          <w:szCs w:val="20"/>
        </w:rPr>
      </w:pPr>
      <w:r>
        <w:rPr>
          <w:rFonts w:ascii="Tahoma" w:hAnsi="Tahoma" w:cs="Tahoma"/>
          <w:b/>
          <w:sz w:val="20"/>
          <w:szCs w:val="20"/>
        </w:rPr>
        <w:t>Setting reviews</w:t>
      </w:r>
    </w:p>
    <w:p>
      <w:pPr>
        <w:pStyle w:val="ListParagraph"/>
        <w:tabs>
          <w:tab w:val="left" w:pos="3210"/>
        </w:tabs>
        <w:ind w:left="644"/>
        <w:jc w:val="both"/>
        <w:rPr>
          <w:rFonts w:ascii="Tahoma" w:hAnsi="Tahoma" w:cs="Tahoma"/>
          <w:b/>
          <w:sz w:val="20"/>
          <w:szCs w:val="20"/>
        </w:rPr>
      </w:pPr>
    </w:p>
    <w:p>
      <w:pPr>
        <w:pStyle w:val="ListParagraph"/>
        <w:tabs>
          <w:tab w:val="left" w:pos="3210"/>
        </w:tabs>
        <w:ind w:left="0"/>
        <w:jc w:val="both"/>
        <w:rPr>
          <w:rFonts w:ascii="Tahoma" w:hAnsi="Tahoma" w:cs="Tahoma"/>
          <w:sz w:val="20"/>
          <w:szCs w:val="20"/>
        </w:rPr>
      </w:pPr>
      <w:r>
        <w:rPr>
          <w:rFonts w:ascii="Tahoma" w:hAnsi="Tahoma" w:cs="Tahoma"/>
          <w:sz w:val="20"/>
          <w:szCs w:val="20"/>
        </w:rPr>
        <w:t>Students will continue to be assessed at regular intervals throughout the year, and there will be 2 formal setting review points in November and March where students may move up or down a set within their band, depending on their progress and attainment.  However, any change in band will need to be agreed by both English and Maths departments.  There will also be scope for individual movement throughout the year, according to need.</w:t>
      </w:r>
    </w:p>
    <w:p>
      <w:pPr>
        <w:pStyle w:val="NoSpacing"/>
        <w:numPr>
          <w:ilvl w:val="0"/>
          <w:numId w:val="1"/>
        </w:numPr>
        <w:jc w:val="both"/>
        <w:rPr>
          <w:rFonts w:ascii="Tahoma" w:hAnsi="Tahoma" w:cs="Tahoma"/>
          <w:b/>
          <w:sz w:val="20"/>
          <w:szCs w:val="20"/>
        </w:rPr>
      </w:pPr>
      <w:r>
        <w:rPr>
          <w:rFonts w:ascii="Tahoma" w:hAnsi="Tahoma" w:cs="Tahoma"/>
          <w:b/>
          <w:sz w:val="20"/>
          <w:szCs w:val="20"/>
        </w:rPr>
        <w:t>Timetable changes</w:t>
      </w:r>
    </w:p>
    <w:p>
      <w:pPr>
        <w:pStyle w:val="NoSpacing"/>
        <w:ind w:left="644"/>
        <w:jc w:val="both"/>
        <w:rPr>
          <w:rFonts w:ascii="Tahoma" w:hAnsi="Tahoma" w:cs="Tahoma"/>
          <w:sz w:val="20"/>
          <w:szCs w:val="20"/>
        </w:rPr>
      </w:pPr>
    </w:p>
    <w:p>
      <w:pPr>
        <w:pStyle w:val="NoSpacing"/>
        <w:jc w:val="both"/>
        <w:rPr>
          <w:rFonts w:ascii="Tahoma" w:hAnsi="Tahoma" w:cs="Tahoma"/>
          <w:sz w:val="20"/>
          <w:szCs w:val="20"/>
        </w:rPr>
      </w:pPr>
      <w:r>
        <w:rPr>
          <w:rFonts w:ascii="Tahoma" w:hAnsi="Tahoma" w:cs="Tahoma"/>
          <w:sz w:val="20"/>
          <w:szCs w:val="20"/>
        </w:rPr>
        <w:t>In addition to set changes, all Year 8 students will now benefit from 2 literacy focus lessons which will take the place of PSHE and one drama lesson on their timetable.  This change has been implemented in direct response to the OFSTED feedback linked to literacy levels impacting on overall student achievement and progress.</w:t>
      </w:r>
    </w:p>
    <w:p>
      <w:pPr>
        <w:pStyle w:val="NoSpacing"/>
        <w:jc w:val="both"/>
        <w:rPr>
          <w:rFonts w:ascii="Tahoma" w:hAnsi="Tahoma" w:cs="Tahoma"/>
          <w:sz w:val="20"/>
          <w:szCs w:val="20"/>
        </w:rPr>
      </w:pPr>
    </w:p>
    <w:p>
      <w:pPr>
        <w:pStyle w:val="NoSpacing"/>
        <w:jc w:val="both"/>
        <w:rPr>
          <w:rFonts w:ascii="Tahoma" w:hAnsi="Tahoma" w:cs="Tahoma"/>
          <w:sz w:val="20"/>
          <w:szCs w:val="20"/>
        </w:rPr>
      </w:pPr>
      <w:r>
        <w:rPr>
          <w:rFonts w:ascii="Tahoma" w:hAnsi="Tahoma" w:cs="Tahoma"/>
          <w:sz w:val="20"/>
          <w:szCs w:val="20"/>
        </w:rPr>
        <w:t>Your child will receive their new timetable on Friday, which will be effective from 5</w:t>
      </w:r>
      <w:r>
        <w:rPr>
          <w:rFonts w:ascii="Tahoma" w:hAnsi="Tahoma" w:cs="Tahoma"/>
          <w:sz w:val="20"/>
          <w:szCs w:val="20"/>
          <w:vertAlign w:val="superscript"/>
        </w:rPr>
        <w:t>th</w:t>
      </w:r>
      <w:r>
        <w:rPr>
          <w:rFonts w:ascii="Tahoma" w:hAnsi="Tahoma" w:cs="Tahoma"/>
          <w:sz w:val="20"/>
          <w:szCs w:val="20"/>
        </w:rPr>
        <w:t xml:space="preserve"> January 2015.  It is important that all students settle quickly into their new teaching groups and focus on making as much progress over the remaining two terms as possible.  Please take some time over the Christmas holiday to familiarise yourself and your child with the changes to their timetable. Should you have any queries over the new arrangements, please contact any member of the school Senior Leadership Team.</w:t>
      </w:r>
    </w:p>
    <w:p>
      <w:pPr>
        <w:pStyle w:val="NoSpacing"/>
        <w:jc w:val="both"/>
        <w:rPr>
          <w:rFonts w:ascii="Tahoma" w:hAnsi="Tahoma" w:cs="Tahoma"/>
          <w:sz w:val="20"/>
          <w:szCs w:val="20"/>
        </w:rPr>
      </w:pPr>
    </w:p>
    <w:p>
      <w:pPr>
        <w:pStyle w:val="NoSpacing"/>
        <w:jc w:val="both"/>
        <w:rPr>
          <w:rFonts w:ascii="Tahoma" w:hAnsi="Tahoma" w:cs="Tahoma"/>
          <w:sz w:val="20"/>
          <w:szCs w:val="20"/>
        </w:rPr>
      </w:pPr>
      <w:r>
        <w:rPr>
          <w:rFonts w:ascii="Tahoma" w:hAnsi="Tahoma" w:cs="Tahoma"/>
          <w:sz w:val="20"/>
          <w:szCs w:val="20"/>
        </w:rPr>
        <w:t>Finally, I would like to take this opportunity to wish all of our Year 8 students and their families a Happy Christmas. We look forward to seeing all of our students again in 2015 after a restful holiday.</w:t>
      </w:r>
    </w:p>
    <w:p>
      <w:pPr>
        <w:pStyle w:val="ListParagraph"/>
        <w:tabs>
          <w:tab w:val="left" w:pos="3210"/>
        </w:tabs>
        <w:ind w:left="0"/>
        <w:jc w:val="both"/>
        <w:rPr>
          <w:rFonts w:ascii="Tahoma" w:hAnsi="Tahoma" w:cs="Tahoma"/>
          <w:sz w:val="20"/>
          <w:szCs w:val="20"/>
        </w:rPr>
      </w:pPr>
    </w:p>
    <w:p>
      <w:pPr>
        <w:pStyle w:val="ListParagraph"/>
        <w:tabs>
          <w:tab w:val="left" w:pos="3210"/>
        </w:tabs>
        <w:ind w:left="0"/>
        <w:jc w:val="both"/>
        <w:rPr>
          <w:rFonts w:ascii="Tahoma" w:hAnsi="Tahoma" w:cs="Tahoma"/>
          <w:sz w:val="20"/>
          <w:szCs w:val="20"/>
        </w:rPr>
      </w:pPr>
      <w:r>
        <w:rPr>
          <w:rFonts w:ascii="Tahoma" w:hAnsi="Tahoma" w:cs="Tahoma"/>
          <w:sz w:val="20"/>
          <w:szCs w:val="20"/>
        </w:rPr>
        <w:t>Yours faithfully</w:t>
      </w:r>
      <w:bookmarkStart w:id="0" w:name="_GoBack"/>
      <w:bookmarkEnd w:id="0"/>
    </w:p>
    <w:p>
      <w:pPr>
        <w:pStyle w:val="ListParagraph"/>
        <w:tabs>
          <w:tab w:val="left" w:pos="3210"/>
        </w:tabs>
        <w:ind w:left="0"/>
        <w:jc w:val="both"/>
        <w:rPr>
          <w:rFonts w:ascii="Tahoma" w:hAnsi="Tahoma" w:cs="Tahoma"/>
          <w:sz w:val="20"/>
          <w:szCs w:val="20"/>
        </w:rPr>
      </w:pPr>
      <w:r>
        <w:rPr>
          <w:rFonts w:ascii="Tahoma" w:hAnsi="Tahoma" w:cs="Tahoma"/>
          <w:noProof/>
          <w:sz w:val="20"/>
          <w:szCs w:val="20"/>
          <w:lang w:eastAsia="en-GB"/>
        </w:rPr>
        <w:drawing>
          <wp:inline distT="0" distB="0" distL="0" distR="0">
            <wp:extent cx="658158" cy="1626909"/>
            <wp:effectExtent l="0" t="8255"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660840" cy="1633537"/>
                    </a:xfrm>
                    <a:prstGeom prst="rect">
                      <a:avLst/>
                    </a:prstGeom>
                    <a:noFill/>
                    <a:ln>
                      <a:noFill/>
                    </a:ln>
                  </pic:spPr>
                </pic:pic>
              </a:graphicData>
            </a:graphic>
          </wp:inline>
        </w:drawing>
      </w:r>
    </w:p>
    <w:p>
      <w:pPr>
        <w:pStyle w:val="ListParagraph"/>
        <w:tabs>
          <w:tab w:val="left" w:pos="3210"/>
        </w:tabs>
        <w:ind w:left="0"/>
        <w:jc w:val="both"/>
        <w:rPr>
          <w:rFonts w:ascii="Tahoma" w:hAnsi="Tahoma" w:cs="Tahoma"/>
          <w:sz w:val="20"/>
          <w:szCs w:val="20"/>
        </w:rPr>
      </w:pPr>
    </w:p>
    <w:p>
      <w:pPr>
        <w:pStyle w:val="ListParagraph"/>
        <w:tabs>
          <w:tab w:val="left" w:pos="3210"/>
        </w:tabs>
        <w:ind w:left="0"/>
        <w:jc w:val="both"/>
        <w:rPr>
          <w:rFonts w:ascii="Tahoma" w:hAnsi="Tahoma" w:cs="Tahoma"/>
          <w:sz w:val="20"/>
          <w:szCs w:val="20"/>
        </w:rPr>
      </w:pPr>
      <w:r>
        <w:rPr>
          <w:rFonts w:ascii="Tahoma" w:hAnsi="Tahoma" w:cs="Tahoma"/>
          <w:sz w:val="20"/>
          <w:szCs w:val="20"/>
        </w:rPr>
        <w:t>B Scott-Herron</w:t>
      </w:r>
    </w:p>
    <w:p>
      <w:pPr>
        <w:pStyle w:val="ListParagraph"/>
        <w:tabs>
          <w:tab w:val="left" w:pos="3210"/>
        </w:tabs>
        <w:ind w:left="0"/>
        <w:jc w:val="both"/>
        <w:rPr>
          <w:rFonts w:ascii="Tahoma" w:hAnsi="Tahoma" w:cs="Tahoma"/>
          <w:sz w:val="20"/>
          <w:szCs w:val="20"/>
        </w:rPr>
      </w:pPr>
      <w:r>
        <w:rPr>
          <w:rFonts w:ascii="Tahoma" w:hAnsi="Tahoma" w:cs="Tahoma"/>
          <w:sz w:val="20"/>
          <w:szCs w:val="20"/>
        </w:rPr>
        <w:t xml:space="preserve">Headteacher </w:t>
      </w:r>
    </w:p>
    <w:sectPr>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531" w:left="1440"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rPr>
        <w:noProof/>
        <w:lang w:eastAsia="en-GB"/>
      </w:rPr>
      <w:drawing>
        <wp:anchor distT="0" distB="0" distL="114300" distR="114300" simplePos="0" relativeHeight="251661312" behindDoc="1" locked="0" layoutInCell="1" allowOverlap="1">
          <wp:simplePos x="0" y="0"/>
          <wp:positionH relativeFrom="column">
            <wp:posOffset>-771525</wp:posOffset>
          </wp:positionH>
          <wp:positionV relativeFrom="paragraph">
            <wp:posOffset>118745</wp:posOffset>
          </wp:positionV>
          <wp:extent cx="7334250" cy="120701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0" cy="1207019"/>
                  </a:xfrm>
                  <a:prstGeom prst="rect">
                    <a:avLst/>
                  </a:prstGeom>
                </pic:spPr>
              </pic:pic>
            </a:graphicData>
          </a:graphic>
          <wp14:sizeRelH relativeFrom="margin">
            <wp14:pctWidth>0</wp14:pctWidth>
          </wp14:sizeRelH>
          <wp14:sizeRelV relativeFrom="margin">
            <wp14:pctHeight>0</wp14:pctHeight>
          </wp14:sizeRelV>
        </wp:anchor>
      </w:drawing>
    </w:r>
  </w:p>
  <w:p>
    <w:pPr>
      <w:pStyle w:val="Footer"/>
    </w:pPr>
  </w:p>
  <w:p>
    <w:pPr>
      <w:pStyle w:val="Footer"/>
    </w:pPr>
  </w:p>
  <w:p>
    <w:pPr>
      <w:pStyle w:val="Footer"/>
    </w:pPr>
  </w:p>
  <w:p>
    <w:pPr>
      <w:pStyle w:val="Footer"/>
    </w:pPr>
  </w:p>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noProof/>
        <w:lang w:eastAsia="en-GB"/>
      </w:rPr>
    </w:pPr>
    <w:r>
      <w:rPr>
        <w:noProof/>
        <w:lang w:eastAsia="en-GB"/>
      </w:rPr>
      <w:drawing>
        <wp:anchor distT="0" distB="0" distL="114300" distR="114300" simplePos="0" relativeHeight="251660288" behindDoc="1" locked="0" layoutInCell="1" allowOverlap="1">
          <wp:simplePos x="0" y="0"/>
          <wp:positionH relativeFrom="column">
            <wp:posOffset>-1066800</wp:posOffset>
          </wp:positionH>
          <wp:positionV relativeFrom="paragraph">
            <wp:posOffset>-307975</wp:posOffset>
          </wp:positionV>
          <wp:extent cx="7993587" cy="22193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93587" cy="2219325"/>
                  </a:xfrm>
                  <a:prstGeom prst="rect">
                    <a:avLst/>
                  </a:prstGeom>
                </pic:spPr>
              </pic:pic>
            </a:graphicData>
          </a:graphic>
          <wp14:sizeRelH relativeFrom="margin">
            <wp14:pctWidth>0</wp14:pctWidth>
          </wp14:sizeRelH>
          <wp14:sizeRelV relativeFrom="margin">
            <wp14:pctHeight>0</wp14:pctHeight>
          </wp14:sizeRelV>
        </wp:anchor>
      </w:drawing>
    </w:r>
  </w:p>
  <w:p>
    <w:pPr>
      <w:pStyle w:val="Header"/>
      <w:rPr>
        <w:noProof/>
        <w:lang w:eastAsia="en-GB"/>
      </w:rPr>
    </w:pPr>
  </w:p>
  <w:p>
    <w:pPr>
      <w:pStyle w:val="Header"/>
    </w:pPr>
  </w:p>
  <w:p>
    <w:pPr>
      <w:pStyle w:val="Header"/>
    </w:pPr>
  </w:p>
  <w:p>
    <w:pPr>
      <w:pStyle w:val="Header"/>
    </w:pPr>
  </w:p>
  <w:p>
    <w:pPr>
      <w:pStyle w:val="Header"/>
    </w:pPr>
  </w:p>
  <w:p>
    <w:pPr>
      <w:pStyle w:val="Header"/>
    </w:pPr>
  </w:p>
  <w:p>
    <w:pPr>
      <w:pStyle w:val="Header"/>
    </w:pPr>
  </w:p>
  <w:p>
    <w:pPr>
      <w:pStyle w:val="Header"/>
    </w:pPr>
  </w:p>
  <w:p>
    <w:pPr>
      <w:pStyle w:val="Header"/>
    </w:pPr>
  </w:p>
  <w:p>
    <w:pPr>
      <w:pStyle w:val="Header"/>
    </w:pPr>
  </w:p>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70595"/>
    <w:multiLevelType w:val="hybridMultilevel"/>
    <w:tmpl w:val="C1AECC1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pPr>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pPr>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186781">
      <w:bodyDiv w:val="1"/>
      <w:marLeft w:val="0"/>
      <w:marRight w:val="0"/>
      <w:marTop w:val="0"/>
      <w:marBottom w:val="0"/>
      <w:divBdr>
        <w:top w:val="none" w:sz="0" w:space="0" w:color="auto"/>
        <w:left w:val="none" w:sz="0" w:space="0" w:color="auto"/>
        <w:bottom w:val="none" w:sz="0" w:space="0" w:color="auto"/>
        <w:right w:val="none" w:sz="0" w:space="0" w:color="auto"/>
      </w:divBdr>
    </w:div>
    <w:div w:id="1903905147">
      <w:bodyDiv w:val="1"/>
      <w:marLeft w:val="0"/>
      <w:marRight w:val="0"/>
      <w:marTop w:val="0"/>
      <w:marBottom w:val="0"/>
      <w:divBdr>
        <w:top w:val="none" w:sz="0" w:space="0" w:color="auto"/>
        <w:left w:val="none" w:sz="0" w:space="0" w:color="auto"/>
        <w:bottom w:val="none" w:sz="0" w:space="0" w:color="auto"/>
        <w:right w:val="none" w:sz="0" w:space="0" w:color="auto"/>
      </w:divBdr>
    </w:div>
    <w:div w:id="203079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ED155-E235-4840-A2C5-B4199F6C5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stbcehs</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A Roberts</dc:creator>
  <cp:lastModifiedBy>Miss A Spiers</cp:lastModifiedBy>
  <cp:revision>3</cp:revision>
  <cp:lastPrinted>2013-10-08T09:59:00Z</cp:lastPrinted>
  <dcterms:created xsi:type="dcterms:W3CDTF">2014-12-15T09:22:00Z</dcterms:created>
  <dcterms:modified xsi:type="dcterms:W3CDTF">2014-12-15T12:31:00Z</dcterms:modified>
</cp:coreProperties>
</file>